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kvalité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Glesskallberget i Bjurholms kommun</w:t>
      </w:r>
    </w:p>
    <w:p>
      <w:r>
        <w:t>Detta dokument behandlar höga naturvärden i avverkningsanmälan Glesskallberget i Bjurholms kommun. Denna avverkningsanmälan inkom 2025-07-23 och omfattar 771,6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30 naturvårdsarter hittats: doftticka (VU, §8), lappticka (VU), långskägg (VU, §8), rynkskinn (VU), ulltickeporing (VU), doftskinn (NT), gammelgransskål (NT), garnlav (NT), granticka (NT), gränsticka (NT), harticka (NT), hornvaxskinn (NT), järpe (NT, §4), lunglav (NT), pilgrimsfalk (NT, §4), rosenticka (NT), skrovellav (NT), tretåig hackspett (NT, §4), ullticka (NT), violettgrå tagellav (NT), bårdlav (S), luddlav (S), mörk husmossa (S), skinnlav (S), spindelblomster (S, §8), stor aspticka (S), stuplav (S), vedticka (S), tjäder (§4) och fläcknycklar (§8). Av dessa är 20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6140548"/>
            <wp:docPr id="1" name="Picture 1"/>
            <wp:cNvGraphicFramePr>
              <a:graphicFrameLocks noChangeAspect="1"/>
            </wp:cNvGraphicFramePr>
            <a:graphic>
              <a:graphicData uri="http://schemas.openxmlformats.org/drawingml/2006/picture">
                <pic:pic>
                  <pic:nvPicPr>
                    <pic:cNvPr id="0" name="Glesskallberget karta.png"/>
                    <pic:cNvPicPr/>
                  </pic:nvPicPr>
                  <pic:blipFill>
                    <a:blip r:embed="rId16"/>
                    <a:stretch>
                      <a:fillRect/>
                    </a:stretch>
                  </pic:blipFill>
                  <pic:spPr>
                    <a:xfrm>
                      <a:off x="0" y="0"/>
                      <a:ext cx="5486400" cy="614054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7075314, E 678447 i SWEREF 99 TM.</w:t>
      </w:r>
    </w:p>
    <w:p>
      <w:r>
        <w:rPr>
          <w:b/>
        </w:rPr>
        <w:t>Doftskinn (NT)</w:t>
      </w:r>
      <w:r>
        <w:t>,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(SLU Artdatabanken, 2024; Nitare &amp; Skogsstyrelsen, 2019).</w:t>
      </w:r>
    </w:p>
    <w:p>
      <w:r>
        <w:rPr>
          <w:b/>
        </w:rPr>
        <w:t xml:space="preserve">Hornvaxskinn (NT) </w:t>
      </w:r>
      <w:r>
        <w:t>påträffas på gamla senvuxna, torra och hårda lågor i gamla naturskogsartade eller plockhuggna tallskogar i norra Sverige. Arten hotas av avverkning av naturskogsartade tallskogar och uttag av torrakor till timring av byggnader. Avverkning av naturskogsliknande tallskogar bör ej förekomma (SLU Artdatabanken, 2024).</w:t>
      </w:r>
    </w:p>
    <w:p>
      <w:r>
        <w:rPr>
          <w:b/>
        </w:rPr>
        <w:t>Lappticka (VU)</w:t>
      </w:r>
      <w:r>
        <w:t>, rödlistad som sårbar, är knuten till gamla granskogar med riklig förekomst av död ved. Den klassas som en “urskogsindikator” och alla skogsskötselåtgärder på eller i omedelbar närhet av lokalerna utgör ett hot (Nitare &amp; Skogsstyrelsen, 2019; SLU Artdatabanken, 2024).</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 xml:space="preserve">Mörk husmossa </w:t>
      </w:r>
      <w:r>
        <w:t>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(SLU Artdatabanken, 2024; Nitare &amp; Skogsstyrelsen, 2019).</w:t>
      </w:r>
    </w:p>
    <w:p>
      <w:r>
        <w:rPr>
          <w:b/>
        </w:rPr>
        <w:t>Rosenticka (NT)</w:t>
      </w:r>
      <w:r>
        <w:t>,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(Nitare &amp; Skogsstyrelsen, 2019; SLU Artdatabanken, 2024).</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Skinnlav </w:t>
      </w:r>
      <w:r>
        <w:t>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(Nitare &amp; Skogsstyrelsen, 2019).</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(SLU Artdatabanken, 2024; Nitare &amp; Skogsstyrelsen, 2019).</w:t>
      </w:r>
    </w:p>
    <w:p>
      <w:r>
        <w:rPr>
          <w:b/>
        </w:rPr>
        <w:t>Stor aspticka</w:t>
      </w:r>
      <w:r>
        <w:t xml:space="preserve"> är knuten till gamla levande aspar och orsakar karaktäristiska inbuktningar i stammen (så kallad nekroser). Slutavverknings- och gallringsåtgärder i löv- och blandskogsbestånd som innebär att tillgången på grov asp minskar är ett hot mot arten. Det är viktigt att äldre aspar och aspbestånd sparas och för att gynna arten på sikt bör aspinslagen i t.ex. bergbranter, raviner, skogsbryn och kring äldre odlingsmarker generellt sparas i större utsträckning än vad som görs idag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I skogar med suboceaniskt klimat finns det en mycket sällsynt parasit, njurlavsknapp </w:t>
      </w:r>
      <w:r>
        <w:rPr>
          <w:i/>
        </w:rPr>
        <w:t>Pletocarpon nephromeum</w:t>
      </w:r>
      <w:r>
        <w:t xml:space="preserve"> (EN), som växer på stuplav (SLU Artdatabanken, 2024; Nitare &amp; Skogsstyrelsen, 2019).</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Ulltickeporing </w:t>
      </w:r>
      <w:r>
        <w:rPr>
          <w:b/>
          <w:i/>
        </w:rPr>
        <w:t>Skeletocutis brevispora</w:t>
      </w:r>
      <w:r>
        <w:rPr>
          <w:b/>
        </w:rPr>
        <w:t xml:space="preserve"> (VU)</w:t>
      </w:r>
      <w:r>
        <w:t>,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pPr>
        <w:pStyle w:val="Heading1"/>
      </w:pPr>
      <w:r>
        <w:t>Fridlysta arter</w:t>
      </w:r>
    </w:p>
    <w:p>
      <w:r>
        <w:t>Följande fridlysta arter har sina livsmiljöer och växtplatser i den avverkningsanmälda skogen: doftticka (VU, §8), långskägg (VU, §8), järpe (NT, §4), pilgrimsfalk (NT, §4), tretåig hackspett (NT, §4), spindelblomster (S, §8), tjäder (§4) och fläcknycklar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Doftticka (VU, §8)</w:t>
      </w:r>
      <w:r>
        <w:t xml:space="preserve"> är rödlistad som sårbar (VU) och fridlyst enligt 8§ artskyddsförordningen. Den är även globalt rödlistad som Nära hotad (NT) vilket innebär att Sverige har ett internationellt ansvar för arten. Doftticka är beroende av hög och jämn luftfuktighet i gamla, ostörda skogsmiljöer och är känslig för snabba förändringar av ljus-/vindförhållanden eller uttorkning. Dofttickan är placerad i toppen av Skogsstyrelsens värdepyramid för bedömning av skog med höga naturvärden och signalerar alltid gamla sälgar och skogsområden med höga naturvärden. Avverkning av värdträd (främst sälg) utgör det största hotet och när gamla och olikåldriga skogar med sälg avverkas försvinner oftast sälgen. Dofttickan har minskat med ca 30 % under de senaste 30 åren (IUCN Redlist, 2024; Nitare &amp; Skogsstyrelsen, 2019; SLU Artdatabanken, 2024).</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Långskägg (VU, §8)</w:t>
      </w:r>
      <w:r>
        <w:t xml:space="preserve"> är en exklusiv art som signalerar naturskogar med mycket höga naturvärden. Den är placerad högst upp i Skogsstyrelsens värdepyramid för bedömning av skog med höga naturvärden och fridlyst enligt 8 § artskyddsförordningen. Arten förekommer främst i urskogsartade granskogar i nord- eller östvända bergssluttningar men även i gransumpskog, myrkanter och längs bäckdråg och indikerar lång skoglig kontinuitet där lokalerna ofta utgörs av brandrefugier, det vill säga områden som inte brunnit under åtminstone de senaste 200–300 åren. Långskägg är mycket känslig för uttorkning och vindpåverkan och överlever inte en slutavverkning (inklusive hänsyn). Samtliga kvarvarande lokaler bör skyddas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(Nitare &amp; Skogsstyrelsen, 2019).</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28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30 naturvårdsarter varav 20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Ulltickeporing – ekologi samt krav på livsmiljön</w:t>
      </w:r>
    </w:p>
    <w:p>
      <w:r>
        <w:t xml:space="preserve">Ulltickeporing </w:t>
      </w:r>
      <w:r>
        <w:rPr>
          <w:i/>
        </w:rPr>
        <w:t>Skeletocutis brevispora</w:t>
      </w:r>
      <w:r>
        <w:t xml:space="preserve"> (VU),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t xml:space="preserve">Ulltickeporingen har nyligen delats upp i tre olika arter: </w:t>
      </w:r>
      <w:r>
        <w:rPr>
          <w:i/>
        </w:rPr>
        <w:t xml:space="preserve">Skeletocutis brevispora </w:t>
      </w:r>
      <w:r>
        <w:t>(ulltickeporing)</w:t>
      </w:r>
      <w:r>
        <w:rPr>
          <w:i/>
        </w:rPr>
        <w:t>, Skeletocutis delicata och Skeletocutis exilis</w:t>
      </w:r>
      <w:r>
        <w:t xml:space="preserve"> (Miettinen &amp; Niemelä, 2018). Skeletocutis delicata och Skeletocutis exilis står för närvarande (2020) som ej bedömda i rödlistan.</w:t>
      </w:r>
    </w:p>
    <w:p>
      <w:pPr>
        <w:pStyle w:val="Heading2"/>
      </w:pPr>
      <w:r>
        <w:t>Referenser – ulltickeporing</w:t>
      </w:r>
    </w:p>
    <w:p>
      <w:r>
        <w:t xml:space="preserve">Miettinen, O. &amp; Niemelä, T., 2018. </w:t>
      </w:r>
      <w:r>
        <w:rPr>
          <w:i/>
        </w:rPr>
        <w:t>Two new temperate polypore species of Skeletocutis (Polyporales, Basidiomycota)</w:t>
      </w:r>
      <w:r>
        <w:t>. Ann. Bot. Fennici 55: 195–206.</w:t>
      </w:r>
    </w:p>
    <w:p>
      <w:r>
        <w:t xml:space="preserve">SLU Artdatabanken, 2024. </w:t>
      </w:r>
      <w:r>
        <w:rPr>
          <w:i/>
        </w:rPr>
        <w:t xml:space="preserve">Artfaktablad. Naturvård – artfakta. </w:t>
      </w:r>
      <w:r>
        <w:t>SLU Artdatabanken, Uppsala</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2025-07-23</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